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jpg" ContentType="image/jpeg"/>
  <Override PartName="/word/media/rId69.jpg" ContentType="image/jpeg"/>
  <Override PartName="/word/media/rId70.jpg" ContentType="image/jpeg"/>
  <Override PartName="/word/media/rId74.jpg" ContentType="image/jpeg"/>
  <Override PartName="/word/media/rId75.jpg" ContentType="image/jpeg"/>
  <Override PartName="/word/media/rId73.jpg" ContentType="image/jpeg"/>
  <Override PartName="/word/media/rId71.jpg" ContentType="image/jpeg"/>
  <Override PartName="/word/media/rId72.jpg" ContentType="image/jpeg"/>
  <Override PartName="/word/media/rId80.jpg" ContentType="image/jpeg"/>
  <Override PartName="/word/media/rId81.jpg" ContentType="image/jpeg"/>
  <Override PartName="/word/media/rId77.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2021-10-19 13:04:19</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5"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long-term-monitoring-data"/>
    <w:p>
      <w:pPr>
        <w:pStyle w:val="Heading2"/>
      </w:pPr>
      <w:r>
        <w:t xml:space="preserve">Long-term monitoring data</w:t>
      </w:r>
    </w:p>
    <w:p>
      <w:pPr>
        <w:pStyle w:val="FirstParagraph"/>
      </w:pPr>
      <w:r>
        <w:t xml:space="preserve">Water quality data in Tampa Bay have been collected at fixed sampling sites since 1974 by the EPC.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Long-term water quality data are available from the University of South Florida Water Atlas (</w:t>
      </w:r>
      <w:hyperlink r:id="rId52">
        <w:r>
          <w:rPr>
            <w:rStyle w:val="Hyperlink"/>
          </w:rPr>
          <w:t xml:space="preserve">https://wateratlas.usf.edu/</w:t>
        </w:r>
      </w:hyperlink>
      <w:r>
        <w:t xml:space="preserve">).</w:t>
      </w:r>
    </w:p>
    <w:p>
      <w:pPr>
        <w:pStyle w:val="BodyText"/>
      </w:pPr>
      <w:r>
        <w:t xml:space="preserve">The historical monitoring data were also used to model an expected seasonal pattern for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provided an assessment of how 2021 data may have deviated from historical and normal seasonal variation. The mgcv R package was used to create the models</w:t>
      </w:r>
      <w:r>
        <w:t xml:space="preserve"> </w:t>
      </w:r>
      <w:r>
        <w:t xml:space="preserve">(</w:t>
      </w:r>
      <w:hyperlink w:anchor="ref-Wood17">
        <w:r>
          <w:rPr>
            <w:rStyle w:val="Hyperlink"/>
          </w:rPr>
          <w:t xml:space="preserve">Wood, 2017</w:t>
        </w:r>
      </w:hyperlink>
      <w:r>
        <w:t xml:space="preserve">)</w:t>
      </w:r>
      <w:r>
        <w:t xml:space="preserve">.</w:t>
      </w:r>
    </w:p>
    <w:bookmarkEnd w:id="53"/>
    <w:bookmarkStart w:id="5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descriptive summaries,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w:t>
      </w:r>
    </w:p>
    <w:p>
      <w:pPr>
        <w:pStyle w:val="BodyText"/>
      </w:pPr>
      <w:r>
        <w:t xml:space="preserve">When appropriate, methods were used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measured concentrations in water quality variables that were below detection. These included estimates of median, mean, and standard deviation of parameters using the</w:t>
      </w:r>
      <w:r>
        <w:t xml:space="preserve"> </w:t>
      </w:r>
      <w:r>
        <w:t xml:space="preserve">“</w:t>
      </w:r>
      <w:r>
        <w:t xml:space="preserve">cenfit</w:t>
      </w:r>
      <w:r>
        <w:t xml:space="preserve">”</w:t>
      </w:r>
      <w:r>
        <w:t xml:space="preserve"> </w:t>
      </w:r>
      <w:r>
        <w:t xml:space="preserve">function from NADA. For the multiple comparison tests, only total nitrogen, secchi, and chl-a data were evaluated, none of which were below detection as noted in the FDEP data. Nitrate/nitrite concentrations were not evaluated quantitatively because over 80% of the observations were below detection. Correlation analyses were based on weekly aggregations by area, using appropriate methods for median estimates with non-detects in the water quality data.</w:t>
      </w:r>
    </w:p>
    <w:bookmarkEnd w:id="54"/>
    <w:bookmarkEnd w:id="55"/>
    <w:bookmarkStart w:id="61" w:name="results"/>
    <w:p>
      <w:pPr>
        <w:pStyle w:val="Heading1"/>
      </w:pPr>
      <w:r>
        <w:t xml:space="preserve">Results</w:t>
      </w:r>
    </w:p>
    <w:bookmarkStart w:id="5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6"/>
    <w:bookmarkStart w:id="57"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above the baseline range. Secchi observations in area 1 were below baseline ranges in April and July.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7"/>
    <w:bookmarkStart w:id="58"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6</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7</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NA%, July frequency occurrence of NA%). A similar decline in coverage of shoal grass was also observed in area 3 (April frequency occurrence of NA%, July frequency occurrence of NA%). Frequency occurrence of manatee grass (</w:t>
      </w:r>
      <w:r>
        <w:rPr>
          <w:iCs/>
          <w:i/>
        </w:rPr>
        <w:t xml:space="preserve">S. syringodium</w:t>
      </w:r>
      <w:r>
        <w:t xml:space="preserve">) also declined slightly from April to July in area 3 (April frequency occurrence of NA%, July frequency occurrence of NA%). Changes in macroalgae frequency occurrence were much more pronounced than for seagrasses across months and by area. Red macroalgae was the dominant group across all months and areas, with the highest frequency occurrences observed in April (NA% in area 1, NA% in area 3). Cyanobacteria frequency occurrence peaked in June, with greater coverage in area 3 (NA%) compared to area 1 (NA%).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7</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6</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8"/>
    <w:bookmarkStart w:id="59" w:name="X7c38f50fd4a7c7a3e46b2b63d974326ba80d8e4"/>
    <w:p>
      <w:pPr>
        <w:pStyle w:val="Heading2"/>
      </w:pPr>
      <w:r>
        <w:t xml:space="preserve">Water quality compared to seagrass and macroalgae</w:t>
      </w:r>
    </w:p>
    <w:p>
      <w:pPr>
        <w:pStyle w:val="FirstParagraph"/>
      </w:pPr>
      <w:r>
        <w:t xml:space="preserve">Pairwise Spearman rank correlations showed significant associations among several of the water quality, seagrass, and macroalgae variables (Figure</w:t>
      </w:r>
      <w:r>
        <w:t xml:space="preserve"> </w:t>
      </w:r>
      <w:r>
        <w:t xml:space="preserve">8</w:t>
      </w:r>
      <w:r>
        <w:t xml:space="preserve">). Among the water quality variables, chlorophyll-a was positively correlated with total phosphorus, total nitrogen, temperature, and pH (</w:t>
      </w:r>
      <m:oMath>
        <m:r>
          <m:t>p</m:t>
        </m:r>
        <m:r>
          <m:rPr>
            <m:sty m:val="p"/>
          </m:rPr>
          <m:t>&lt;</m:t>
        </m:r>
        <m:r>
          <m:t>0.005</m:t>
        </m:r>
      </m:oMath>
      <w:r>
        <w:t xml:space="preserve"> </w:t>
      </w:r>
      <w:r>
        <w:t xml:space="preserve">for all) and negatively correlated with secchi depth (</w:t>
      </w:r>
      <m:oMath>
        <m:r>
          <m:t>p</m:t>
        </m:r>
        <m:r>
          <m:rPr>
            <m:sty m:val="p"/>
          </m:rPr>
          <m:t>&lt;</m:t>
        </m:r>
        <m:r>
          <m:t>0.05</m:t>
        </m:r>
      </m:oMath>
      <w:r>
        <w:t xml:space="preserve">). Total nitrogen was positively correlated with total phosphorus, temperature, and ammonia (</w:t>
      </w:r>
      <m:oMath>
        <m:r>
          <m:t>p</m:t>
        </m:r>
        <m:r>
          <m:rPr>
            <m:sty m:val="p"/>
          </m:rPr>
          <m:t>&lt;</m:t>
        </m:r>
        <m:r>
          <m:t>0.005</m:t>
        </m:r>
      </m:oMath>
      <w:r>
        <w:t xml:space="preserve">, except</w:t>
      </w:r>
      <w:r>
        <w:t xml:space="preserve"> </w:t>
      </w:r>
      <m:oMath>
        <m:r>
          <m:t>p</m:t>
        </m:r>
        <m:r>
          <m:rPr>
            <m:sty m:val="p"/>
          </m:rPr>
          <m:t>&lt;</m:t>
        </m:r>
        <m:r>
          <m:t>0.05</m:t>
        </m:r>
      </m:oMath>
      <w:r>
        <w:t xml:space="preserve"> </w:t>
      </w:r>
      <w:r>
        <w:t xml:space="preserve">for temperature) and negatively correlated with secchi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red macroalgae was negatively correlated with cyanobacteria (</w:t>
      </w:r>
      <m:oMath>
        <m:r>
          <m:t>p</m:t>
        </m:r>
        <m:r>
          <m:rPr>
            <m:sty m:val="p"/>
          </m:rPr>
          <m:t>&lt;</m:t>
        </m:r>
        <m:r>
          <m:t>0.005</m:t>
        </m:r>
      </m:oMath>
      <w:r>
        <w:t xml:space="preserve">). Among the seagrasses, manatee grass was negatively correlated with shoal grass and turtle grass (</w:t>
      </w:r>
      <m:oMath>
        <m:r>
          <m:t>p</m:t>
        </m:r>
        <m:r>
          <m:rPr>
            <m:sty m:val="p"/>
          </m:rPr>
          <m:t>&lt;</m:t>
        </m:r>
        <m:r>
          <m:t>0.005</m:t>
        </m:r>
      </m:oMath>
      <w:r>
        <w:t xml:space="preserve">). Several notable correlations were also observed between water quality, macroalgae, and seagrass. Chlorophyll-a was negatively correlated with red and green macroalgae (</w:t>
      </w:r>
      <m:oMath>
        <m:r>
          <m:t>p</m:t>
        </m:r>
        <m:r>
          <m:rPr>
            <m:sty m:val="p"/>
          </m:rPr>
          <m:t>&lt;</m:t>
        </m:r>
        <m:r>
          <m:t>0.05</m:t>
        </m:r>
      </m:oMath>
      <w:r>
        <w:t xml:space="preserve">), whereas secchi depth was positively correlated with both (</w:t>
      </w:r>
      <m:oMath>
        <m:r>
          <m:t>p</m:t>
        </m:r>
        <m:r>
          <m:rPr>
            <m:sty m:val="p"/>
          </m:rPr>
          <m:t>&lt;</m:t>
        </m:r>
        <m:r>
          <m:t>0.05</m:t>
        </m:r>
      </m:oMath>
      <w:r>
        <w:t xml:space="preserve">) and negatively correlated with cyanobacteria (</w:t>
      </w:r>
      <m:oMath>
        <m:r>
          <m:t>p</m:t>
        </m:r>
        <m:r>
          <m:rPr>
            <m:sty m:val="p"/>
          </m:rPr>
          <m:t>&lt;</m:t>
        </m:r>
        <m:r>
          <m:t>0.05</m:t>
        </m:r>
      </m:oMath>
      <w:r>
        <w:t xml:space="preserve">). For water quality and seagrass, chl-a, total nitrogen, and total phosphorus were negatively correlated with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correlated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w:t>
      </w:r>
    </w:p>
    <w:bookmarkEnd w:id="59"/>
    <w:bookmarkStart w:id="6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60"/>
    <w:bookmarkEnd w:id="61"/>
    <w:bookmarkStart w:id="67"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w:t>
      </w:r>
      <w:r>
        <w:t xml:space="preserve">and</w:t>
      </w:r>
      <w:r>
        <w:t xml:space="preserve"> </w:t>
      </w:r>
      <w:r>
        <w:t xml:space="preserve">4</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2">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3">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is supported by the significant correlations (Figure</w:t>
      </w:r>
      <w:r>
        <w:t xml:space="preserve"> </w:t>
      </w:r>
      <w:r>
        <w:t xml:space="preserve">8</w:t>
      </w:r>
      <w:r>
        <w:t xml:space="preserve">).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(positive correlation in Figure</w:t>
      </w:r>
      <w:r>
        <w:t xml:space="preserve"> </w:t>
      </w:r>
      <w:r>
        <w:t xml:space="preserve">8</w:t>
      </w:r>
      <w:r>
        <w:t xml:space="preserve">),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9</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4">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5">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6">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7"/>
    <w:bookmarkStart w:id="68"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8"/>
    <w:bookmarkStart w:id="82"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9"/>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70"/>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71"/>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Sampled water quality data by week for April to July 2021 in response to wastewater disch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title="" id="1" name="Picture"/>
            <a:graphic>
              <a:graphicData uri="http://schemas.openxmlformats.org/drawingml/2006/picture">
                <pic:pic>
                  <pic:nvPicPr>
                    <pic:cNvPr descr="T:/04_STAFF/MARCUS/03_GIT/piney-point-manu/figs/wqtrnds.jpeg" id="0" name="Picture"/>
                    <pic:cNvPicPr>
                      <a:picLocks noChangeArrowheads="1" noChangeAspect="1"/>
                    </pic:cNvPicPr>
                  </pic:nvPicPr>
                  <pic:blipFill>
                    <a:blip r:embed="rId72"/>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discharge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w:t>
      </w:r>
      <w:r>
        <w:t xml:space="preserve"> </w:t>
      </w:r>
      <w:r>
        <w:t xml:space="preserve">1</w:t>
      </w:r>
      <w:r>
        <w:t xml:space="preserve">a).</w:t>
      </w:r>
    </w:p>
    <w:p>
      <w:pPr>
        <w:pStyle w:val="CaptionedFigure"/>
      </w:pPr>
      <w:r>
        <w:drawing>
          <wp:inline>
            <wp:extent cx="5943600" cy="4195482"/>
            <wp:effectExtent b="0" l="0" r="0" t="0"/>
            <wp:docPr descr="Figure 5: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T:/04_STAFF/MARCUS/03_GIT/piney-point-manu/figs/wqgamtrnds.jpeg" id="0" name="Picture"/>
                    <pic:cNvPicPr>
                      <a:picLocks noChangeArrowheads="1" noChangeAspect="1"/>
                    </pic:cNvPicPr>
                  </pic:nvPicPr>
                  <pic:blipFill>
                    <a:blip r:embed="rId7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6: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4"/>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6: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7: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7: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4114800" cy="4023360"/>
            <wp:effectExtent b="0" l="0" r="0" t="0"/>
            <wp:docPr descr="Figure 8: Correlation matrix for water quality variables, macroalgae, and seagrass results aggregated by week from April to July 2021 in response to wastewater discharge from Piney Point. Only areas 1 and 3 (Figure 1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 \alpha = 0.05." title="" id="1" name="Picture"/>
            <a:graphic>
              <a:graphicData uri="http://schemas.openxmlformats.org/drawingml/2006/picture">
                <pic:pic>
                  <pic:nvPicPr>
                    <pic:cNvPr descr="T:/04_STAFF/MARCUS/03_GIT/piney-point-manu/figs/allcor.jpeg" id="0" name="Picture"/>
                    <pic:cNvPicPr>
                      <a:picLocks noChangeArrowheads="1" noChangeAspect="1"/>
                    </pic:cNvPicPr>
                  </pic:nvPicPr>
                  <pic:blipFill>
                    <a:blip r:embed="rId76"/>
                    <a:stretch>
                      <a:fillRect/>
                    </a:stretch>
                  </pic:blipFill>
                  <pic:spPr bwMode="auto">
                    <a:xfrm>
                      <a:off x="0" y="0"/>
                      <a:ext cx="4114800" cy="4023360"/>
                    </a:xfrm>
                    <a:prstGeom prst="rect">
                      <a:avLst/>
                    </a:prstGeom>
                    <a:noFill/>
                    <a:ln w="9525">
                      <a:noFill/>
                      <a:headEnd/>
                      <a:tailEnd/>
                    </a:ln>
                  </pic:spPr>
                </pic:pic>
              </a:graphicData>
            </a:graphic>
          </wp:inline>
        </w:drawing>
      </w:r>
    </w:p>
    <w:p>
      <w:pPr>
        <w:pStyle w:val="ImageCaption"/>
      </w:pPr>
      <w:r>
        <w:t xml:space="preserve">Figure 8: Correlation matrix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943600" cy="7264400"/>
            <wp:effectExtent b="0" l="0" r="0" t="0"/>
            <wp:docPr descr="Figure 9: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7"/>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8">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9">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10: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80"/>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10: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11: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81"/>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11: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82"/>
    <w:bookmarkStart w:id="83"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30.16**</w:t>
            </w:r>
          </w:p>
        </w:tc>
        <w:tc>
          <w:p>
            <w:pPr>
              <w:pStyle w:val="Compact"/>
              <w:jc w:val="left"/>
            </w:pPr>
            <w:r>
              <w:t xml:space="preserve">ab</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bc</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0.52 (0.35, 1.4)</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25</w:t>
            </w:r>
          </w:p>
        </w:tc>
        <w:tc>
          <w:p>
            <w:pPr>
              <w:pStyle w:val="Compact"/>
              <w:jc w:val="left"/>
            </w:pPr>
            <w:r>
              <w:t xml:space="preserve">0.47 (0.36, 1.2)</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left"/>
            </w:pPr>
            <w:r>
              <w:t xml:space="preserve">0.39 (0.32, 0.81)</w:t>
            </w:r>
          </w:p>
        </w:tc>
      </w:tr>
      <w:tr>
        <w:tc>
          <w:p/>
        </w:tc>
        <w:tc>
          <w:p>
            <w:pPr>
              <w:pStyle w:val="Compact"/>
              <w:jc w:val="left"/>
            </w:pPr>
            <w:r>
              <w:t xml:space="preserve">Chl-a (ug/L)</w:t>
            </w:r>
          </w:p>
        </w:tc>
        <w:tc>
          <w:p>
            <w:pPr>
              <w:pStyle w:val="Compact"/>
              <w:jc w:val="left"/>
            </w:pPr>
            <w:r>
              <w:t xml:space="preserve">45.2**</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27</w:t>
            </w:r>
          </w:p>
        </w:tc>
        <w:tc>
          <w:p>
            <w:pPr>
              <w:pStyle w:val="Compact"/>
              <w:jc w:val="left"/>
            </w:pPr>
            <w:r>
              <w:t xml:space="preserve">3.3 (2, 24)</w:t>
            </w:r>
          </w:p>
        </w:tc>
      </w:tr>
      <w:tr>
        <w:tc>
          <w:p/>
        </w:tc>
        <w:tc>
          <w:p>
            <w:pPr>
              <w:pStyle w:val="Compact"/>
              <w:jc w:val="left"/>
            </w:pPr>
            <w:r>
              <w:t xml:space="preserve">Secchi (m)</w:t>
            </w:r>
          </w:p>
        </w:tc>
        <w:tc>
          <w:p>
            <w:pPr>
              <w:pStyle w:val="Compact"/>
              <w:jc w:val="left"/>
            </w:pPr>
            <w:r>
              <w:t xml:space="preserve">50.15**</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15</w:t>
            </w:r>
          </w:p>
        </w:tc>
        <w:tc>
          <w:p>
            <w:pPr>
              <w:pStyle w:val="Compact"/>
              <w:jc w:val="left"/>
            </w:pPr>
            <w:r>
              <w:t xml:space="preserve">3.5 (0.9, 9.5)</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12</w:t>
            </w:r>
          </w:p>
        </w:tc>
        <w:tc>
          <w:p>
            <w:pPr>
              <w:pStyle w:val="Compact"/>
              <w:jc w:val="left"/>
            </w:pPr>
            <w:r>
              <w:t xml:space="preserve">3.6 (1.8, 4.5)</w:t>
            </w:r>
          </w:p>
        </w:tc>
      </w:tr>
      <w:tr>
        <w:tc>
          <w:p>
            <w:pPr>
              <w:pStyle w:val="Compact"/>
              <w:jc w:val="left"/>
            </w:pPr>
            <w:r>
              <w:t xml:space="preserve">2</w:t>
            </w:r>
          </w:p>
        </w:tc>
        <w:tc>
          <w:p>
            <w:pPr>
              <w:pStyle w:val="Compact"/>
              <w:jc w:val="left"/>
            </w:pPr>
            <w:r>
              <w:t xml:space="preserve">TN (mg/L)</w:t>
            </w:r>
          </w:p>
        </w:tc>
        <w:tc>
          <w:p>
            <w:pPr>
              <w:pStyle w:val="Compact"/>
              <w:jc w:val="left"/>
            </w:pPr>
            <w:r>
              <w:t xml:space="preserve">17.93**</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0.51 (0.49, 0.66)</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0.54 (0.46, 0.69)</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w:t>
            </w:r>
          </w:p>
        </w:tc>
        <w:tc>
          <w:p>
            <w:pPr>
              <w:pStyle w:val="Compact"/>
              <w:jc w:val="left"/>
            </w:pPr>
            <w:r>
              <w:t xml:space="preserve">0.57 (0.57, 0.57)</w:t>
            </w:r>
          </w:p>
        </w:tc>
      </w:tr>
      <w:tr>
        <w:tc>
          <w:p/>
        </w:tc>
        <w:tc>
          <w:p>
            <w:pPr>
              <w:pStyle w:val="Compact"/>
              <w:jc w:val="left"/>
            </w:pPr>
            <w:r>
              <w:t xml:space="preserve">Chl-a (ug/L)</w:t>
            </w:r>
          </w:p>
        </w:tc>
        <w:tc>
          <w:p>
            <w:pPr>
              <w:pStyle w:val="Compact"/>
              <w:jc w:val="left"/>
            </w:pPr>
            <w:r>
              <w:t xml:space="preserve">20.96**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left"/>
            </w:pPr>
            <w:r>
              <w:t xml:space="preserve">5.2 (3.9, 5.8)</w:t>
            </w:r>
          </w:p>
        </w:tc>
      </w:tr>
      <w:tr>
        <w:tc>
          <w:p/>
        </w:tc>
        <w:tc>
          <w:p>
            <w:pPr>
              <w:pStyle w:val="Compact"/>
              <w:jc w:val="left"/>
            </w:pPr>
            <w:r>
              <w:t xml:space="preserve">Secchi (m)</w:t>
            </w:r>
          </w:p>
        </w:tc>
        <w:tc>
          <w:p>
            <w:pPr>
              <w:pStyle w:val="Compact"/>
              <w:jc w:val="left"/>
            </w:pPr>
            <w:r>
              <w:t xml:space="preserve">2.38</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12.76*</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0.365 (0.31, 0.63)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4</w:t>
            </w:r>
          </w:p>
        </w:tc>
        <w:tc>
          <w:p>
            <w:pPr>
              <w:pStyle w:val="Compact"/>
              <w:jc w:val="left"/>
            </w:pPr>
            <w:r>
              <w:t xml:space="preserve">0.435 (0.3, 0.47)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7</w:t>
            </w:r>
          </w:p>
        </w:tc>
        <w:tc>
          <w:p>
            <w:pPr>
              <w:pStyle w:val="Compact"/>
              <w:jc w:val="left"/>
            </w:pPr>
            <w:r>
              <w:t xml:space="preserve">0.38 (0.26, 0.52)</w:t>
            </w:r>
          </w:p>
        </w:tc>
      </w:tr>
      <w:tr>
        <w:tc>
          <w:p/>
        </w:tc>
        <w:tc>
          <w:p>
            <w:pPr>
              <w:pStyle w:val="Compact"/>
              <w:jc w:val="left"/>
            </w:pPr>
            <w:r>
              <w:t xml:space="preserve">Chl-a (ug/L)</w:t>
            </w:r>
          </w:p>
        </w:tc>
        <w:tc>
          <w:p>
            <w:pPr>
              <w:pStyle w:val="Compact"/>
              <w:jc w:val="left"/>
            </w:pPr>
            <w:r>
              <w:t xml:space="preserve">39.58**</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4</w:t>
            </w:r>
          </w:p>
        </w:tc>
        <w:tc>
          <w:p>
            <w:pPr>
              <w:pStyle w:val="Compact"/>
              <w:jc w:val="left"/>
            </w:pPr>
            <w:r>
              <w:t xml:space="preserve">3.2 (3.1, 6.5)</w:t>
            </w:r>
          </w:p>
        </w:tc>
      </w:tr>
      <w:tr>
        <w:tc>
          <w:p/>
        </w:tc>
        <w:tc>
          <w:p/>
        </w:tc>
        <w:tc>
          <w:p/>
        </w:tc>
        <w:tc>
          <w:p>
            <w:pPr>
              <w:pStyle w:val="Compact"/>
              <w:jc w:val="left"/>
            </w:pPr>
            <w:r>
              <w:t xml:space="preserve">bc</w:t>
            </w:r>
          </w:p>
        </w:tc>
        <w:tc>
          <w:p>
            <w:pPr>
              <w:pStyle w:val="Compact"/>
              <w:jc w:val="left"/>
            </w:pPr>
            <w:r>
              <w:t xml:space="preserve">Sep</w:t>
            </w:r>
          </w:p>
        </w:tc>
        <w:tc>
          <w:p>
            <w:pPr>
              <w:pStyle w:val="Compact"/>
              <w:jc w:val="right"/>
            </w:pPr>
            <w:r>
              <w:t xml:space="preserve">8</w:t>
            </w:r>
          </w:p>
        </w:tc>
        <w:tc>
          <w:p>
            <w:pPr>
              <w:pStyle w:val="Compact"/>
              <w:jc w:val="left"/>
            </w:pPr>
            <w:r>
              <w:t xml:space="preserve">3.6 (2.1, 12)</w:t>
            </w:r>
          </w:p>
        </w:tc>
      </w:tr>
      <w:tr>
        <w:tc>
          <w:p/>
        </w:tc>
        <w:tc>
          <w:p>
            <w:pPr>
              <w:pStyle w:val="Compact"/>
              <w:jc w:val="left"/>
            </w:pPr>
            <w:r>
              <w:t xml:space="preserve">Secchi (m)</w:t>
            </w:r>
          </w:p>
        </w:tc>
        <w:tc>
          <w:p>
            <w:pPr>
              <w:pStyle w:val="Compact"/>
              <w:jc w:val="left"/>
            </w:pPr>
            <w:r>
              <w:t xml:space="preserve">14.26*</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2 (2, 3.6)</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left"/>
            </w:pPr>
            <w:r>
              <w:t xml:space="preserve">2.2 (1.5, 3)</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83"/>
    <w:bookmarkStart w:id="173" w:name="references"/>
    <w:p>
      <w:pPr>
        <w:pStyle w:val="Heading1"/>
      </w:pPr>
      <w:r>
        <w:t xml:space="preserve">References</w:t>
      </w:r>
    </w:p>
    <w:bookmarkStart w:id="172" w:name="refs"/>
    <w:bookmarkStart w:id="85" w:name="ref-Bates76"/>
    <w:p>
      <w:pPr>
        <w:pStyle w:val="Bibliography"/>
      </w:pPr>
      <w:r>
        <w:t xml:space="preserve">Bates, S.S., 1976. Effects of light and ammonium on nitrate uptake by two species of estuarine phytoplankton. Limnology and oceanography 21, 212–218. https://doi.org/</w:t>
      </w:r>
      <w:hyperlink r:id="rId84">
        <w:r>
          <w:rPr>
            <w:rStyle w:val="Hyperlink"/>
          </w:rPr>
          <w:t xml:space="preserve">https://doi.org/10.4319/lo.1976.21.2.0212</w:t>
        </w:r>
      </w:hyperlink>
    </w:p>
    <w:bookmarkEnd w:id="85"/>
    <w:bookmarkStart w:id="87"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6">
        <w:r>
          <w:rPr>
            <w:rStyle w:val="Hyperlink"/>
          </w:rPr>
          <w:t xml:space="preserve">https://doi.org/10.18785/gcr.2901.02</w:t>
        </w:r>
      </w:hyperlink>
    </w:p>
    <w:bookmarkEnd w:id="87"/>
    <w:bookmarkStart w:id="89"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8">
        <w:r>
          <w:rPr>
            <w:rStyle w:val="Hyperlink"/>
          </w:rPr>
          <w:t xml:space="preserve">https://doi.org/10.1007/s12237-017-0287-1</w:t>
        </w:r>
      </w:hyperlink>
    </w:p>
    <w:bookmarkEnd w:id="89"/>
    <w:bookmarkStart w:id="90" w:name="ref-Beck21"/>
    <w:p>
      <w:pPr>
        <w:pStyle w:val="Bibliography"/>
      </w:pPr>
      <w:r>
        <w:t xml:space="preserve">Beck, M.W., Schrandt, M., Wessel, M., Sherwood, E., Raulerson, G., Best, B., 2021. Tbeptools: Data and indicators for the tampa bay estuary program.</w:t>
      </w:r>
    </w:p>
    <w:bookmarkEnd w:id="90"/>
    <w:bookmarkStart w:id="91" w:name="ref-Bryan20"/>
    <w:p>
      <w:pPr>
        <w:pStyle w:val="Bibliography"/>
      </w:pPr>
      <w:r>
        <w:t xml:space="preserve">Bryan, J., 2020. googlesheets4: Access google sheets using the sheets API V4.</w:t>
      </w:r>
    </w:p>
    <w:bookmarkEnd w:id="91"/>
    <w:bookmarkStart w:id="92"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5">
        <w:r>
          <w:rPr>
            <w:rStyle w:val="Hyperlink"/>
          </w:rPr>
          <w:t xml:space="preserve">https://doi.org/10.1007/s12237-013-9701-5</w:t>
        </w:r>
      </w:hyperlink>
    </w:p>
    <w:bookmarkEnd w:id="96"/>
    <w:bookmarkStart w:id="98" w:name="ref-Chen19"/>
    <w:p>
      <w:pPr>
        <w:pStyle w:val="Bibliography"/>
      </w:pPr>
      <w:r>
        <w:t xml:space="preserve">Chen, J., Weisberg, R.H., Liu, Y., Zheng, L., Zhu, J., 2019. On the momentum balance of tampa bay. Journal of Geophysical Research: Oceans 124, 4492–4510. https://doi.org/</w:t>
      </w:r>
      <w:hyperlink r:id="rId97">
        <w:r>
          <w:rPr>
            <w:rStyle w:val="Hyperlink"/>
          </w:rPr>
          <w:t xml:space="preserve">https://doi.org/10.1029/2018JC014890</w:t>
        </w:r>
      </w:hyperlink>
    </w:p>
    <w:bookmarkEnd w:id="98"/>
    <w:bookmarkStart w:id="100" w:name="ref-Cohen06"/>
    <w:p>
      <w:pPr>
        <w:pStyle w:val="Bibliography"/>
      </w:pPr>
      <w:r>
        <w:t xml:space="preserve">Cohen, R.A., Fong, P., 2006. Using opportunistic green macroalgae as indicators of nitrogen supply and sources to estuaries. Ecological Applications 16, 1405–1420. https://doi.org/</w:t>
      </w:r>
      <w:hyperlink r:id="rId99">
        <w:r>
          <w:rPr>
            <w:rStyle w:val="Hyperlink"/>
          </w:rPr>
          <w:t xml:space="preserve">https://doi.org/10.1890/1051-0761(2006)016[1405:UOGMAI]2.0.CO;2</w:t>
        </w:r>
      </w:hyperlink>
    </w:p>
    <w:bookmarkEnd w:id="100"/>
    <w:bookmarkStart w:id="101" w:name="ref-DAgostino20"/>
    <w:p>
      <w:pPr>
        <w:pStyle w:val="Bibliography"/>
      </w:pPr>
      <w:r>
        <w:t xml:space="preserve">D’Agostino McGowan, L., Bryan, J., 2020. Googledrive: An interface to google drive.</w:t>
      </w:r>
    </w:p>
    <w:bookmarkEnd w:id="101"/>
    <w:bookmarkStart w:id="102"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2"/>
    <w:bookmarkStart w:id="103"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3"/>
    <w:bookmarkStart w:id="105"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4">
        <w:r>
          <w:rPr>
            <w:rStyle w:val="Hyperlink"/>
          </w:rPr>
          <w:t xml:space="preserve">https://www.jstor.org/stable/24322132</w:t>
        </w:r>
      </w:hyperlink>
    </w:p>
    <w:bookmarkEnd w:id="105"/>
    <w:bookmarkStart w:id="107"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6">
        <w:r>
          <w:rPr>
            <w:rStyle w:val="Hyperlink"/>
          </w:rPr>
          <w:t xml:space="preserve">https://doi.org/10.1007/s00027-011-0180-0</w:t>
        </w:r>
      </w:hyperlink>
    </w:p>
    <w:bookmarkEnd w:id="107"/>
    <w:bookmarkStart w:id="109"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8">
        <w:r>
          <w:rPr>
            <w:rStyle w:val="Hyperlink"/>
          </w:rPr>
          <w:t xml:space="preserve">https://doi.org/10.1016/j.marpolbul.2015.10.047</w:t>
        </w:r>
      </w:hyperlink>
    </w:p>
    <w:bookmarkEnd w:id="109"/>
    <w:bookmarkStart w:id="111"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0">
        <w:r>
          <w:rPr>
            <w:rStyle w:val="Hyperlink"/>
          </w:rPr>
          <w:t xml:space="preserve">https://doi.org/10.1007/s12237-010-9350-x</w:t>
        </w:r>
      </w:hyperlink>
    </w:p>
    <w:bookmarkEnd w:id="111"/>
    <w:bookmarkStart w:id="113"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2">
        <w:r>
          <w:rPr>
            <w:rStyle w:val="Hyperlink"/>
          </w:rPr>
          <w:t xml:space="preserve">https://doi.org/10.1016/j.marpolbul.2010.11.017</w:t>
        </w:r>
      </w:hyperlink>
    </w:p>
    <w:bookmarkEnd w:id="113"/>
    <w:bookmarkStart w:id="115"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4">
        <w:r>
          <w:rPr>
            <w:rStyle w:val="Hyperlink"/>
          </w:rPr>
          <w:t xml:space="preserve">https://doi.org/10.3389/fmars.2021.605858</w:t>
        </w:r>
      </w:hyperlink>
    </w:p>
    <w:bookmarkEnd w:id="115"/>
    <w:bookmarkStart w:id="117"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6">
        <w:r>
          <w:rPr>
            <w:rStyle w:val="Hyperlink"/>
          </w:rPr>
          <w:t xml:space="preserve">https://doi.org/10.1007/s00267-005-0079-4</w:t>
        </w:r>
      </w:hyperlink>
    </w:p>
    <w:bookmarkEnd w:id="117"/>
    <w:bookmarkStart w:id="118"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8"/>
    <w:bookmarkStart w:id="120"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9">
        <w:r>
          <w:rPr>
            <w:rStyle w:val="Hyperlink"/>
          </w:rPr>
          <w:t xml:space="preserve">https://doi.org/10.1016/j.ecss.2014.10.003</w:t>
        </w:r>
      </w:hyperlink>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4">
        <w:r>
          <w:rPr>
            <w:rStyle w:val="Hyperlink"/>
          </w:rPr>
          <w:t xml:space="preserve">https://doi.org/10.4319/lo.2006.51.1_part_2.0364</w:t>
        </w:r>
      </w:hyperlink>
    </w:p>
    <w:bookmarkEnd w:id="125"/>
    <w:bookmarkStart w:id="126"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6"/>
    <w:bookmarkStart w:id="128" w:name="ref-Hudson11"/>
    <w:p>
      <w:pPr>
        <w:pStyle w:val="Bibliography"/>
      </w:pPr>
      <w:r>
        <w:t xml:space="preserve">Hudson-Edwards, K.A., Jamieson, H.E., Lottermoser, B.G., 2011. Mine wastes: Past, present, future. Elements 7, 375–380.</w:t>
      </w:r>
      <w:r>
        <w:t xml:space="preserve"> </w:t>
      </w:r>
      <w:hyperlink r:id="rId127">
        <w:r>
          <w:rPr>
            <w:rStyle w:val="Hyperlink"/>
          </w:rPr>
          <w:t xml:space="preserve">https://doi.org/10.2113/gselements.7.6.375</w:t>
        </w:r>
      </w:hyperlink>
    </w:p>
    <w:bookmarkEnd w:id="128"/>
    <w:bookmarkStart w:id="129"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9"/>
    <w:bookmarkStart w:id="130"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1"/>
    <w:bookmarkStart w:id="132" w:name="ref-Janicki08"/>
    <w:p>
      <w:pPr>
        <w:pStyle w:val="Bibliography"/>
      </w:pPr>
      <w:r>
        <w:t xml:space="preserve">Janicki Environmental, Inc., 2008. Estimation of nitrogen loading from residential irrigation. Tampa Bay Estuary Program, St. Petersburg, Florida.</w:t>
      </w:r>
    </w:p>
    <w:bookmarkEnd w:id="132"/>
    <w:bookmarkStart w:id="133"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3"/>
    <w:bookmarkStart w:id="134"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4"/>
    <w:bookmarkStart w:id="135" w:name="ref-Lee20"/>
    <w:p>
      <w:pPr>
        <w:pStyle w:val="Bibliography"/>
      </w:pPr>
      <w:r>
        <w:t xml:space="preserve">Lee, L., 2020. NADA: Nondetects and data analysis for environmental data.</w:t>
      </w:r>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6">
        <w:r>
          <w:rPr>
            <w:rStyle w:val="Hyperlink"/>
          </w:rPr>
          <w:t xml:space="preserve">https://doi.org/10.1016/j.ocecoaman.2005.07.002</w:t>
        </w:r>
      </w:hyperlink>
    </w:p>
    <w:bookmarkEnd w:id="137"/>
    <w:bookmarkStart w:id="139"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8">
        <w:r>
          <w:rPr>
            <w:rStyle w:val="Hyperlink"/>
          </w:rPr>
          <w:t xml:space="preserve">https://doi.org/10.1016/j.envsoft.2019.03.027</w:t>
        </w:r>
      </w:hyperlink>
    </w:p>
    <w:bookmarkEnd w:id="139"/>
    <w:bookmarkStart w:id="141" w:name="ref-Nixon95"/>
    <w:p>
      <w:pPr>
        <w:pStyle w:val="Bibliography"/>
      </w:pPr>
      <w:r>
        <w:t xml:space="preserve">Nixon, S.W., 1995. Coastal marine eutrophication: A definition, social causes, and future concerns. Ophelia 41, 199–219.</w:t>
      </w:r>
      <w:r>
        <w:t xml:space="preserve"> </w:t>
      </w:r>
      <w:hyperlink r:id="rId140">
        <w:r>
          <w:rPr>
            <w:rStyle w:val="Hyperlink"/>
          </w:rPr>
          <w:t xml:space="preserve">https://doi.org/10.1080/00785236.1995.10422044</w:t>
        </w:r>
      </w:hyperlink>
    </w:p>
    <w:bookmarkEnd w:id="141"/>
    <w:bookmarkStart w:id="142"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2"/>
    <w:bookmarkStart w:id="144"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3">
        <w:r>
          <w:rPr>
            <w:rStyle w:val="Hyperlink"/>
          </w:rPr>
          <w:t xml:space="preserve">https://doi.org/10.32614/RJ-2018-009</w:t>
        </w:r>
      </w:hyperlink>
    </w:p>
    <w:bookmarkEnd w:id="144"/>
    <w:bookmarkStart w:id="146"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5">
        <w:r>
          <w:rPr>
            <w:rStyle w:val="Hyperlink"/>
          </w:rPr>
          <w:t xml:space="preserve">https://doi.org/10.1016/j.scitotenv.2016.02.070</w:t>
        </w:r>
      </w:hyperlink>
    </w:p>
    <w:bookmarkEnd w:id="146"/>
    <w:bookmarkStart w:id="148"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7">
        <w:r>
          <w:rPr>
            <w:rStyle w:val="Hyperlink"/>
          </w:rPr>
          <w:t xml:space="preserve">https://doi.org/10.1016/j.apgeochem.2010.02.003</w:t>
        </w:r>
      </w:hyperlink>
    </w:p>
    <w:bookmarkEnd w:id="148"/>
    <w:bookmarkStart w:id="150"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9">
        <w:r>
          <w:rPr>
            <w:rStyle w:val="Hyperlink"/>
          </w:rPr>
          <w:t xml:space="preserve">https://doi.org/10.1016/j.atmosenv.2012.12.030</w:t>
        </w:r>
      </w:hyperlink>
    </w:p>
    <w:bookmarkEnd w:id="150"/>
    <w:bookmarkStart w:id="151" w:name="ref-RCT20"/>
    <w:p>
      <w:pPr>
        <w:pStyle w:val="Bibliography"/>
      </w:pPr>
      <w:r>
        <w:t xml:space="preserve">R Core Team, 2020. R: A language and environment for statistical computing, v4.0.3. R Foundation for Statistical Computing, Vienna, Austria.</w:t>
      </w:r>
    </w:p>
    <w:bookmarkEnd w:id="151"/>
    <w:bookmarkStart w:id="153"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2">
        <w:r>
          <w:rPr>
            <w:rStyle w:val="Hyperlink"/>
          </w:rPr>
          <w:t xml:space="preserve">https://doi.org/10.1007/s11270-013-1742-7</w:t>
        </w:r>
      </w:hyperlink>
    </w:p>
    <w:bookmarkEnd w:id="153"/>
    <w:bookmarkStart w:id="155"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4">
        <w:r>
          <w:rPr>
            <w:rStyle w:val="Hyperlink"/>
          </w:rPr>
          <w:t xml:space="preserve">https://doi.org/10.1016/j.ecolind.2020.107310</w:t>
        </w:r>
      </w:hyperlink>
    </w:p>
    <w:bookmarkEnd w:id="155"/>
    <w:bookmarkStart w:id="157"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6">
        <w:r>
          <w:rPr>
            <w:rStyle w:val="Hyperlink"/>
          </w:rPr>
          <w:t xml:space="preserve">https://doi.org/10.1007/s00267-013-0179-5</w:t>
        </w:r>
      </w:hyperlink>
    </w:p>
    <w:bookmarkEnd w:id="157"/>
    <w:bookmarkStart w:id="159"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8">
        <w:r>
          <w:rPr>
            <w:rStyle w:val="Hyperlink"/>
          </w:rPr>
          <w:t xml:space="preserve">https://doi.org/10.1353/sgo.2017.0026</w:t>
        </w:r>
      </w:hyperlink>
    </w:p>
    <w:bookmarkEnd w:id="159"/>
    <w:bookmarkStart w:id="160"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0"/>
    <w:bookmarkStart w:id="162"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61">
        <w:r>
          <w:rPr>
            <w:rStyle w:val="Hyperlink"/>
          </w:rPr>
          <w:t xml:space="preserve">https://doi.org/10.1016/j.jembe.2005.11.025</w:t>
        </w:r>
      </w:hyperlink>
    </w:p>
    <w:bookmarkEnd w:id="162"/>
    <w:bookmarkStart w:id="163"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3"/>
    <w:bookmarkStart w:id="165"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4">
        <w:r>
          <w:rPr>
            <w:rStyle w:val="Hyperlink"/>
          </w:rPr>
          <w:t xml:space="preserve">https://doi.org/10.1016/j.jenvman.2009.03.007</w:t>
        </w:r>
      </w:hyperlink>
    </w:p>
    <w:bookmarkEnd w:id="165"/>
    <w:bookmarkStart w:id="167"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6">
        <w:r>
          <w:rPr>
            <w:rStyle w:val="Hyperlink"/>
          </w:rPr>
          <w:t xml:space="preserve">https://doi.org/10.4319/lo.1997.42.5_part_2.1105</w:t>
        </w:r>
      </w:hyperlink>
    </w:p>
    <w:bookmarkEnd w:id="167"/>
    <w:bookmarkStart w:id="168"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8"/>
    <w:bookmarkStart w:id="17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9">
        <w:r>
          <w:rPr>
            <w:rStyle w:val="Hyperlink"/>
          </w:rPr>
          <w:t xml:space="preserve">https://doi.org/10.21105/joss.01686</w:t>
        </w:r>
      </w:hyperlink>
    </w:p>
    <w:bookmarkEnd w:id="170"/>
    <w:bookmarkStart w:id="171" w:name="ref-Wood17"/>
    <w:p>
      <w:pPr>
        <w:pStyle w:val="Bibliography"/>
      </w:pPr>
      <w:r>
        <w:t xml:space="preserve">Wood, S.N., 2017. Generalized additive models: An introduction with r, 2nd ed. Chapman; Hall, CRC Press, London, United Kingdom.</w:t>
      </w:r>
    </w:p>
    <w:bookmarkEnd w:id="171"/>
    <w:bookmarkEnd w:id="172"/>
    <w:bookmarkEnd w:id="17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6" Target="media/rId76.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80" Target="media/rId80.jpg" /><Relationship Type="http://schemas.openxmlformats.org/officeDocument/2006/relationships/image" Id="rId81" Target="media/rId81.jpg" /><Relationship Type="http://schemas.openxmlformats.org/officeDocument/2006/relationships/image" Id="rId77" Target="media/rId77.jpg" /><Relationship Type="http://schemas.openxmlformats.org/officeDocument/2006/relationships/hyperlink" Id="rId106" Target="https://doi.org/10.1007/s00027-011-0180-0" TargetMode="External" /><Relationship Type="http://schemas.openxmlformats.org/officeDocument/2006/relationships/hyperlink" Id="rId116" Target="https://doi.org/10.1007/s00267-005-0079-4" TargetMode="External" /><Relationship Type="http://schemas.openxmlformats.org/officeDocument/2006/relationships/hyperlink" Id="rId156" Target="https://doi.org/10.1007/s00267-013-0179-5" TargetMode="External" /><Relationship Type="http://schemas.openxmlformats.org/officeDocument/2006/relationships/hyperlink" Id="rId152" Target="https://doi.org/10.1007/s11270-013-1742-7" TargetMode="External" /><Relationship Type="http://schemas.openxmlformats.org/officeDocument/2006/relationships/hyperlink" Id="rId110"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49" Target="https://doi.org/10.1016/j.atmosenv.2012.12.030" TargetMode="External" /><Relationship Type="http://schemas.openxmlformats.org/officeDocument/2006/relationships/hyperlink" Id="rId154" Target="https://doi.org/10.1016/j.ecolind.2020.107310" TargetMode="External" /><Relationship Type="http://schemas.openxmlformats.org/officeDocument/2006/relationships/hyperlink" Id="rId119" Target="https://doi.org/10.1016/j.ecss.2014.10.003" TargetMode="External" /><Relationship Type="http://schemas.openxmlformats.org/officeDocument/2006/relationships/hyperlink" Id="rId138" Target="https://doi.org/10.1016/j.envsoft.2019.03.027" TargetMode="External" /><Relationship Type="http://schemas.openxmlformats.org/officeDocument/2006/relationships/hyperlink" Id="rId161"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112" Target="https://doi.org/10.1016/j.marpolbul.2010.11.017" TargetMode="External" /><Relationship Type="http://schemas.openxmlformats.org/officeDocument/2006/relationships/hyperlink" Id="rId108" Target="https://doi.org/10.1016/j.marpolbul.2015.10.047" TargetMode="External" /><Relationship Type="http://schemas.openxmlformats.org/officeDocument/2006/relationships/hyperlink" Id="rId136"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97" Target="https://doi.org/10.1029/2018JC014890" TargetMode="External" /><Relationship Type="http://schemas.openxmlformats.org/officeDocument/2006/relationships/hyperlink" Id="rId140" Target="https://doi.org/10.1080/00785236.1995.10422044" TargetMode="External" /><Relationship Type="http://schemas.openxmlformats.org/officeDocument/2006/relationships/hyperlink" Id="rId158"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99" Target="https://doi.org/10.1890/1051-0761(2006)016[1405:UOGMAI]2.0.CO;2" TargetMode="External" /><Relationship Type="http://schemas.openxmlformats.org/officeDocument/2006/relationships/hyperlink" Id="rId169" Target="https://doi.org/10.21105/joss.01686" TargetMode="External" /><Relationship Type="http://schemas.openxmlformats.org/officeDocument/2006/relationships/hyperlink" Id="rId127"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4" Target="https://doi.org/10.3389/fmars.2021.605858" TargetMode="External" /><Relationship Type="http://schemas.openxmlformats.org/officeDocument/2006/relationships/hyperlink" Id="rId84" Target="https://doi.org/10.4319/lo.1976.21.2.0212" TargetMode="External" /><Relationship Type="http://schemas.openxmlformats.org/officeDocument/2006/relationships/hyperlink" Id="rId166"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4"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6" Target="https://doi.org/10.1007/s00027-011-0180-0" TargetMode="External" /><Relationship Type="http://schemas.openxmlformats.org/officeDocument/2006/relationships/hyperlink" Id="rId116" Target="https://doi.org/10.1007/s00267-005-0079-4" TargetMode="External" /><Relationship Type="http://schemas.openxmlformats.org/officeDocument/2006/relationships/hyperlink" Id="rId156" Target="https://doi.org/10.1007/s00267-013-0179-5" TargetMode="External" /><Relationship Type="http://schemas.openxmlformats.org/officeDocument/2006/relationships/hyperlink" Id="rId152" Target="https://doi.org/10.1007/s11270-013-1742-7" TargetMode="External" /><Relationship Type="http://schemas.openxmlformats.org/officeDocument/2006/relationships/hyperlink" Id="rId110"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49" Target="https://doi.org/10.1016/j.atmosenv.2012.12.030" TargetMode="External" /><Relationship Type="http://schemas.openxmlformats.org/officeDocument/2006/relationships/hyperlink" Id="rId154" Target="https://doi.org/10.1016/j.ecolind.2020.107310" TargetMode="External" /><Relationship Type="http://schemas.openxmlformats.org/officeDocument/2006/relationships/hyperlink" Id="rId119" Target="https://doi.org/10.1016/j.ecss.2014.10.003" TargetMode="External" /><Relationship Type="http://schemas.openxmlformats.org/officeDocument/2006/relationships/hyperlink" Id="rId138" Target="https://doi.org/10.1016/j.envsoft.2019.03.027" TargetMode="External" /><Relationship Type="http://schemas.openxmlformats.org/officeDocument/2006/relationships/hyperlink" Id="rId161"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112" Target="https://doi.org/10.1016/j.marpolbul.2010.11.017" TargetMode="External" /><Relationship Type="http://schemas.openxmlformats.org/officeDocument/2006/relationships/hyperlink" Id="rId108" Target="https://doi.org/10.1016/j.marpolbul.2015.10.047" TargetMode="External" /><Relationship Type="http://schemas.openxmlformats.org/officeDocument/2006/relationships/hyperlink" Id="rId136"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97" Target="https://doi.org/10.1029/2018JC014890" TargetMode="External" /><Relationship Type="http://schemas.openxmlformats.org/officeDocument/2006/relationships/hyperlink" Id="rId140" Target="https://doi.org/10.1080/00785236.1995.10422044" TargetMode="External" /><Relationship Type="http://schemas.openxmlformats.org/officeDocument/2006/relationships/hyperlink" Id="rId158"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99" Target="https://doi.org/10.1890/1051-0761(2006)016[1405:UOGMAI]2.0.CO;2" TargetMode="External" /><Relationship Type="http://schemas.openxmlformats.org/officeDocument/2006/relationships/hyperlink" Id="rId169" Target="https://doi.org/10.21105/joss.01686" TargetMode="External" /><Relationship Type="http://schemas.openxmlformats.org/officeDocument/2006/relationships/hyperlink" Id="rId127"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4" Target="https://doi.org/10.3389/fmars.2021.605858" TargetMode="External" /><Relationship Type="http://schemas.openxmlformats.org/officeDocument/2006/relationships/hyperlink" Id="rId84" Target="https://doi.org/10.4319/lo.1976.21.2.0212" TargetMode="External" /><Relationship Type="http://schemas.openxmlformats.org/officeDocument/2006/relationships/hyperlink" Id="rId166"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4"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2021-10-19T17:04:24Z</dcterms:created>
  <dcterms:modified xsi:type="dcterms:W3CDTF">2021-10-19T17:04:24Z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